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tabs>
          <w:tab w:val="center" w:pos="7360"/>
          <w:tab w:val="clear" w:pos="210"/>
          <w:tab w:val="clear" w:pos="4620"/>
        </w:tabs>
        <w:bidi w:val="0"/>
        <w:jc w:val="left"/>
        <w:rPr>
          <w:rFonts w:hint="eastAsia" w:ascii="宋体" w:hAnsi="宋体" w:eastAsia="宋体" w:cs="宋体"/>
          <w:color w:val="auto"/>
        </w:rPr>
      </w:pPr>
      <w:bookmarkStart w:id="0" w:name="_Toc1822427688_WPSOffice_Level1"/>
      <w:bookmarkStart w:id="1" w:name="_Toc420684843_WPSOffice_Level1"/>
      <w:r>
        <w:rPr>
          <w:rFonts w:hint="eastAsia" w:ascii="宋体" w:hAnsi="宋体" w:eastAsia="宋体" w:cs="宋体"/>
          <w:b/>
          <w:bCs/>
          <w:color w:val="auto"/>
          <w:kern w:val="0"/>
          <w:sz w:val="28"/>
          <w:szCs w:val="28"/>
        </w:rPr>
        <w:t>A105080</w:t>
      </w:r>
      <w:r>
        <w:rPr>
          <w:rFonts w:hint="eastAsia" w:ascii="宋体" w:hAnsi="宋体" w:eastAsia="宋体" w:cs="宋体"/>
          <w:b/>
          <w:bCs/>
          <w:color w:val="auto"/>
          <w:kern w:val="0"/>
          <w:sz w:val="28"/>
          <w:szCs w:val="28"/>
          <w:lang w:val="en-US" w:eastAsia="zh-CN"/>
        </w:rPr>
        <w:tab/>
      </w:r>
      <w:r>
        <w:rPr>
          <w:rFonts w:hint="eastAsia" w:ascii="宋体" w:hAnsi="宋体" w:eastAsia="宋体" w:cs="宋体"/>
          <w:b/>
          <w:bCs/>
          <w:color w:val="auto"/>
          <w:kern w:val="0"/>
          <w:sz w:val="28"/>
          <w:szCs w:val="28"/>
        </w:rPr>
        <w:t>资产折旧、摊销及纳税调整明细表</w:t>
      </w:r>
      <w:bookmarkEnd w:id="0"/>
      <w:bookmarkEnd w:id="1"/>
    </w:p>
    <w:tbl>
      <w:tblPr>
        <w:tblStyle w:val="2"/>
        <w:tblW w:w="14610" w:type="dxa"/>
        <w:tblInd w:w="93"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616"/>
        <w:gridCol w:w="900"/>
        <w:gridCol w:w="4368"/>
        <w:gridCol w:w="745"/>
        <w:gridCol w:w="913"/>
        <w:gridCol w:w="1075"/>
        <w:gridCol w:w="791"/>
        <w:gridCol w:w="1075"/>
        <w:gridCol w:w="1075"/>
        <w:gridCol w:w="1078"/>
        <w:gridCol w:w="1075"/>
        <w:gridCol w:w="899"/>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616" w:type="dxa"/>
            <w:vMerge w:val="restart"/>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行次</w:t>
            </w:r>
          </w:p>
        </w:tc>
        <w:tc>
          <w:tcPr>
            <w:tcW w:w="5268" w:type="dxa"/>
            <w:gridSpan w:val="2"/>
            <w:vMerge w:val="restart"/>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项目</w:t>
            </w:r>
          </w:p>
        </w:tc>
        <w:tc>
          <w:tcPr>
            <w:tcW w:w="2733"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账载金额</w:t>
            </w:r>
          </w:p>
        </w:tc>
        <w:tc>
          <w:tcPr>
            <w:tcW w:w="5094" w:type="dxa"/>
            <w:gridSpan w:val="5"/>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税收金额</w:t>
            </w:r>
          </w:p>
        </w:tc>
        <w:tc>
          <w:tcPr>
            <w:tcW w:w="899" w:type="dxa"/>
            <w:vMerge w:val="restart"/>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纳税调整金额</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616" w:type="dxa"/>
            <w:vMerge w:val="continue"/>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5268" w:type="dxa"/>
            <w:gridSpan w:val="2"/>
            <w:vMerge w:val="continue"/>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74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资产原值</w:t>
            </w:r>
          </w:p>
        </w:tc>
        <w:tc>
          <w:tcPr>
            <w:tcW w:w="91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本年折旧、摊销额</w:t>
            </w:r>
          </w:p>
        </w:tc>
        <w:tc>
          <w:tcPr>
            <w:tcW w:w="107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累计折旧、摊销额</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资产计税基础</w:t>
            </w:r>
          </w:p>
        </w:tc>
        <w:tc>
          <w:tcPr>
            <w:tcW w:w="107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税收折旧、摊销额</w:t>
            </w:r>
          </w:p>
        </w:tc>
        <w:tc>
          <w:tcPr>
            <w:tcW w:w="107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享受加速折旧政策的资产按税收一般规定计算的折旧、摊销额</w:t>
            </w:r>
          </w:p>
        </w:tc>
        <w:tc>
          <w:tcPr>
            <w:tcW w:w="1078"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加速折旧、摊销统计额</w:t>
            </w:r>
          </w:p>
        </w:tc>
        <w:tc>
          <w:tcPr>
            <w:tcW w:w="107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累计折旧、摊销额</w:t>
            </w:r>
          </w:p>
        </w:tc>
        <w:tc>
          <w:tcPr>
            <w:tcW w:w="899" w:type="dxa"/>
            <w:vMerge w:val="continue"/>
            <w:tcBorders>
              <w:tl2br w:val="nil"/>
              <w:tr2bl w:val="nil"/>
            </w:tcBorders>
            <w:noWrap w:val="0"/>
            <w:vAlign w:val="center"/>
          </w:tcPr>
          <w:p>
            <w:pPr>
              <w:jc w:val="center"/>
              <w:rPr>
                <w:rFonts w:hint="eastAsia" w:ascii="宋体" w:hAnsi="宋体" w:eastAsia="宋体" w:cs="宋体"/>
                <w:i w:val="0"/>
                <w:color w:val="auto"/>
                <w:sz w:val="20"/>
                <w:szCs w:val="20"/>
                <w:u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616" w:type="dxa"/>
            <w:vMerge w:val="continue"/>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5268" w:type="dxa"/>
            <w:gridSpan w:val="2"/>
            <w:vMerge w:val="continue"/>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74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1</w:t>
            </w:r>
          </w:p>
        </w:tc>
        <w:tc>
          <w:tcPr>
            <w:tcW w:w="913"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2</w:t>
            </w:r>
          </w:p>
        </w:tc>
        <w:tc>
          <w:tcPr>
            <w:tcW w:w="107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3</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4</w:t>
            </w:r>
          </w:p>
        </w:tc>
        <w:tc>
          <w:tcPr>
            <w:tcW w:w="107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5</w:t>
            </w:r>
          </w:p>
        </w:tc>
        <w:tc>
          <w:tcPr>
            <w:tcW w:w="107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6</w:t>
            </w:r>
          </w:p>
        </w:tc>
        <w:tc>
          <w:tcPr>
            <w:tcW w:w="1078"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7（5-6）</w:t>
            </w:r>
          </w:p>
        </w:tc>
        <w:tc>
          <w:tcPr>
            <w:tcW w:w="107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8</w:t>
            </w:r>
          </w:p>
        </w:tc>
        <w:tc>
          <w:tcPr>
            <w:tcW w:w="899"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9(2-5)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1</w:t>
            </w:r>
          </w:p>
        </w:tc>
        <w:tc>
          <w:tcPr>
            <w:tcW w:w="5268" w:type="dxa"/>
            <w:gridSpan w:val="2"/>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一、固定资产（2+3+4+5+6+7）</w:t>
            </w:r>
          </w:p>
        </w:tc>
        <w:tc>
          <w:tcPr>
            <w:tcW w:w="74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913"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791"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8"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899"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2</w:t>
            </w:r>
          </w:p>
        </w:tc>
        <w:tc>
          <w:tcPr>
            <w:tcW w:w="900" w:type="dxa"/>
            <w:vMerge w:val="restart"/>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所有固定资产</w:t>
            </w:r>
          </w:p>
        </w:tc>
        <w:tc>
          <w:tcPr>
            <w:tcW w:w="4368"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（一）房屋、建筑物</w:t>
            </w:r>
          </w:p>
        </w:tc>
        <w:tc>
          <w:tcPr>
            <w:tcW w:w="74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913"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791"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8"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899"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3</w:t>
            </w:r>
          </w:p>
        </w:tc>
        <w:tc>
          <w:tcPr>
            <w:tcW w:w="900" w:type="dxa"/>
            <w:vMerge w:val="continue"/>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4368"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（二）飞机、火车、轮船、机器、机械和其他生产设备</w:t>
            </w:r>
          </w:p>
        </w:tc>
        <w:tc>
          <w:tcPr>
            <w:tcW w:w="74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913"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791"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8"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899"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4</w:t>
            </w:r>
          </w:p>
        </w:tc>
        <w:tc>
          <w:tcPr>
            <w:tcW w:w="900" w:type="dxa"/>
            <w:vMerge w:val="continue"/>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4368"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（三）与生产经营活动有关的器具、工具、家具等</w:t>
            </w:r>
          </w:p>
        </w:tc>
        <w:tc>
          <w:tcPr>
            <w:tcW w:w="74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913"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791"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8"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899"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5</w:t>
            </w:r>
          </w:p>
        </w:tc>
        <w:tc>
          <w:tcPr>
            <w:tcW w:w="900" w:type="dxa"/>
            <w:vMerge w:val="continue"/>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4368"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（四）飞机、火车、轮船以外的运输工具</w:t>
            </w:r>
          </w:p>
        </w:tc>
        <w:tc>
          <w:tcPr>
            <w:tcW w:w="74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913"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791"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8"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899"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6</w:t>
            </w:r>
          </w:p>
        </w:tc>
        <w:tc>
          <w:tcPr>
            <w:tcW w:w="900" w:type="dxa"/>
            <w:vMerge w:val="continue"/>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4368"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（五）电子设备</w:t>
            </w:r>
          </w:p>
        </w:tc>
        <w:tc>
          <w:tcPr>
            <w:tcW w:w="74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913"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791"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8"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899"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7</w:t>
            </w:r>
          </w:p>
        </w:tc>
        <w:tc>
          <w:tcPr>
            <w:tcW w:w="900" w:type="dxa"/>
            <w:vMerge w:val="continue"/>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4368"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（六）其他</w:t>
            </w:r>
          </w:p>
        </w:tc>
        <w:tc>
          <w:tcPr>
            <w:tcW w:w="74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913"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791"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8"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899"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8</w:t>
            </w:r>
          </w:p>
        </w:tc>
        <w:tc>
          <w:tcPr>
            <w:tcW w:w="900" w:type="dxa"/>
            <w:vMerge w:val="restart"/>
            <w:tcBorders>
              <w:tl2br w:val="nil"/>
              <w:tr2bl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其中：享受固定资产加速折旧及一次性扣除政策的资产加速折旧额大于一般折旧额的部分</w:t>
            </w:r>
          </w:p>
        </w:tc>
        <w:tc>
          <w:tcPr>
            <w:tcW w:w="4368"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（一）重要行业固定资产加速折旧（不含一次性扣除）</w:t>
            </w:r>
          </w:p>
        </w:tc>
        <w:tc>
          <w:tcPr>
            <w:tcW w:w="74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913"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791"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8"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899"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9</w:t>
            </w:r>
          </w:p>
        </w:tc>
        <w:tc>
          <w:tcPr>
            <w:tcW w:w="900" w:type="dxa"/>
            <w:vMerge w:val="continue"/>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4368"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（二）其他行业研发设备加速折旧</w:t>
            </w:r>
          </w:p>
        </w:tc>
        <w:tc>
          <w:tcPr>
            <w:tcW w:w="74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913"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791"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8"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899"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10</w:t>
            </w:r>
          </w:p>
        </w:tc>
        <w:tc>
          <w:tcPr>
            <w:tcW w:w="900" w:type="dxa"/>
            <w:vMerge w:val="continue"/>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4368" w:type="dxa"/>
            <w:tcBorders>
              <w:tl2br w:val="nil"/>
              <w:tr2bl w:val="nil"/>
            </w:tcBorders>
            <w:noWrap w:val="0"/>
            <w:vAlign w:val="center"/>
          </w:tcPr>
          <w:p>
            <w:pPr>
              <w:keepNext w:val="0"/>
              <w:keepLines w:val="0"/>
              <w:widowControl/>
              <w:suppressLineNumbers w:val="0"/>
              <w:jc w:val="left"/>
              <w:textAlignment w:val="center"/>
              <w:rPr>
                <w:rFonts w:hint="default" w:ascii="宋体" w:hAnsi="宋体" w:eastAsia="宋体" w:cs="宋体"/>
                <w:i w:val="0"/>
                <w:color w:val="auto"/>
                <w:sz w:val="20"/>
                <w:szCs w:val="20"/>
                <w:u w:val="none"/>
                <w:lang w:val="en-US"/>
              </w:rPr>
            </w:pPr>
            <w:r>
              <w:rPr>
                <w:rFonts w:hint="eastAsia" w:ascii="宋体" w:hAnsi="宋体" w:eastAsia="宋体" w:cs="宋体"/>
                <w:i w:val="0"/>
                <w:color w:val="auto"/>
                <w:kern w:val="0"/>
                <w:sz w:val="20"/>
                <w:szCs w:val="20"/>
                <w:u w:val="none"/>
                <w:lang w:val="en-US" w:eastAsia="zh-CN" w:bidi="ar"/>
              </w:rPr>
              <w:t>（三）特定地区企业固定资产加速折旧（10.1+10.2）</w:t>
            </w:r>
          </w:p>
        </w:tc>
        <w:tc>
          <w:tcPr>
            <w:tcW w:w="74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913"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791"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8"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899" w:type="dxa"/>
            <w:tcBorders>
              <w:tl2br w:val="nil"/>
              <w:tr2bl w:val="nil"/>
            </w:tcBorders>
            <w:noWrap w:val="0"/>
            <w:vAlign w:val="center"/>
          </w:tcPr>
          <w:p>
            <w:pPr>
              <w:jc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10.1</w:t>
            </w:r>
          </w:p>
        </w:tc>
        <w:tc>
          <w:tcPr>
            <w:tcW w:w="900" w:type="dxa"/>
            <w:vMerge w:val="continue"/>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4368"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1.海南自由贸易港企业固定资产加速折旧</w:t>
            </w:r>
          </w:p>
        </w:tc>
        <w:tc>
          <w:tcPr>
            <w:tcW w:w="74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913"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791"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8"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899" w:type="dxa"/>
            <w:tcBorders>
              <w:tl2br w:val="nil"/>
              <w:tr2bl w:val="nil"/>
            </w:tcBorders>
            <w:noWrap w:val="0"/>
            <w:vAlign w:val="center"/>
          </w:tcPr>
          <w:p>
            <w:pPr>
              <w:jc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10.2</w:t>
            </w:r>
          </w:p>
        </w:tc>
        <w:tc>
          <w:tcPr>
            <w:tcW w:w="900" w:type="dxa"/>
            <w:vMerge w:val="continue"/>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4368"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2.其他特定地区企业固定资产加速折旧</w:t>
            </w:r>
          </w:p>
        </w:tc>
        <w:tc>
          <w:tcPr>
            <w:tcW w:w="74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913"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791"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8"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899" w:type="dxa"/>
            <w:tcBorders>
              <w:tl2br w:val="nil"/>
              <w:tr2bl w:val="nil"/>
            </w:tcBorders>
            <w:noWrap w:val="0"/>
            <w:vAlign w:val="center"/>
          </w:tcPr>
          <w:p>
            <w:pPr>
              <w:jc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11</w:t>
            </w:r>
          </w:p>
        </w:tc>
        <w:tc>
          <w:tcPr>
            <w:tcW w:w="900" w:type="dxa"/>
            <w:vMerge w:val="continue"/>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4368"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（四）500万元以下设备器具一次性扣除</w:t>
            </w:r>
          </w:p>
        </w:tc>
        <w:tc>
          <w:tcPr>
            <w:tcW w:w="74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913"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791"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8"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899"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12</w:t>
            </w:r>
          </w:p>
        </w:tc>
        <w:tc>
          <w:tcPr>
            <w:tcW w:w="900" w:type="dxa"/>
            <w:vMerge w:val="continue"/>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4368"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（五）疫情防控重点保障物资生产企业单价500万元以上设备一次性扣除</w:t>
            </w:r>
          </w:p>
        </w:tc>
        <w:tc>
          <w:tcPr>
            <w:tcW w:w="74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913"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791"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8"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899"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13</w:t>
            </w:r>
          </w:p>
        </w:tc>
        <w:tc>
          <w:tcPr>
            <w:tcW w:w="900" w:type="dxa"/>
            <w:vMerge w:val="continue"/>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4368"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（六）特定地区企业固定资产一次性扣除（13.1+13.2）</w:t>
            </w:r>
          </w:p>
        </w:tc>
        <w:tc>
          <w:tcPr>
            <w:tcW w:w="74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913"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791"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8"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899"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13.1</w:t>
            </w:r>
          </w:p>
        </w:tc>
        <w:tc>
          <w:tcPr>
            <w:tcW w:w="900" w:type="dxa"/>
            <w:vMerge w:val="continue"/>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4368"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1.海南自由贸易港企业固定资产一次性扣除</w:t>
            </w:r>
          </w:p>
        </w:tc>
        <w:tc>
          <w:tcPr>
            <w:tcW w:w="74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913"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791"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8"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899" w:type="dxa"/>
            <w:tcBorders>
              <w:tl2br w:val="nil"/>
              <w:tr2bl w:val="nil"/>
            </w:tcBorders>
            <w:noWrap w:val="0"/>
            <w:vAlign w:val="center"/>
          </w:tcPr>
          <w:p>
            <w:pPr>
              <w:jc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13.2</w:t>
            </w:r>
          </w:p>
        </w:tc>
        <w:tc>
          <w:tcPr>
            <w:tcW w:w="900" w:type="dxa"/>
            <w:vMerge w:val="continue"/>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4368"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2.其他特定地区企业固定资产一次性扣除</w:t>
            </w:r>
          </w:p>
        </w:tc>
        <w:tc>
          <w:tcPr>
            <w:tcW w:w="74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913"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791"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8"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899" w:type="dxa"/>
            <w:tcBorders>
              <w:tl2br w:val="nil"/>
              <w:tr2bl w:val="nil"/>
            </w:tcBorders>
            <w:noWrap w:val="0"/>
            <w:vAlign w:val="center"/>
          </w:tcPr>
          <w:p>
            <w:pPr>
              <w:jc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14</w:t>
            </w:r>
          </w:p>
        </w:tc>
        <w:tc>
          <w:tcPr>
            <w:tcW w:w="900" w:type="dxa"/>
            <w:vMerge w:val="continue"/>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4368"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（七）技术进步、更新换代固定资产加速折旧</w:t>
            </w:r>
          </w:p>
        </w:tc>
        <w:tc>
          <w:tcPr>
            <w:tcW w:w="74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913"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791"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8"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899"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15</w:t>
            </w:r>
          </w:p>
        </w:tc>
        <w:tc>
          <w:tcPr>
            <w:tcW w:w="900" w:type="dxa"/>
            <w:vMerge w:val="continue"/>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4368"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（八）常年强震动、高腐蚀固定资产加速折旧</w:t>
            </w:r>
          </w:p>
        </w:tc>
        <w:tc>
          <w:tcPr>
            <w:tcW w:w="74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913"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791"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8"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899"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16</w:t>
            </w:r>
          </w:p>
        </w:tc>
        <w:tc>
          <w:tcPr>
            <w:tcW w:w="900" w:type="dxa"/>
            <w:vMerge w:val="continue"/>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4368"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（九）外购软件加速折旧</w:t>
            </w:r>
          </w:p>
        </w:tc>
        <w:tc>
          <w:tcPr>
            <w:tcW w:w="74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913"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791"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8"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899"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17</w:t>
            </w:r>
          </w:p>
        </w:tc>
        <w:tc>
          <w:tcPr>
            <w:tcW w:w="900" w:type="dxa"/>
            <w:vMerge w:val="continue"/>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4368"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（十）集成电路企业生产设备加速折旧</w:t>
            </w:r>
          </w:p>
        </w:tc>
        <w:tc>
          <w:tcPr>
            <w:tcW w:w="74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913"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791"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8"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899"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18</w:t>
            </w:r>
          </w:p>
        </w:tc>
        <w:tc>
          <w:tcPr>
            <w:tcW w:w="5268" w:type="dxa"/>
            <w:gridSpan w:val="2"/>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二、生产性生物资产（19+20）</w:t>
            </w:r>
          </w:p>
        </w:tc>
        <w:tc>
          <w:tcPr>
            <w:tcW w:w="74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913"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791"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8"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899"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19</w:t>
            </w:r>
          </w:p>
        </w:tc>
        <w:tc>
          <w:tcPr>
            <w:tcW w:w="5268" w:type="dxa"/>
            <w:gridSpan w:val="2"/>
            <w:tcBorders>
              <w:tl2br w:val="nil"/>
              <w:tr2bl w:val="nil"/>
            </w:tcBorders>
            <w:noWrap w:val="0"/>
            <w:vAlign w:val="center"/>
          </w:tcPr>
          <w:p>
            <w:pPr>
              <w:keepNext w:val="0"/>
              <w:keepLines w:val="0"/>
              <w:widowControl/>
              <w:suppressLineNumbers w:val="0"/>
              <w:ind w:firstLineChars="10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（一）林木类</w:t>
            </w:r>
          </w:p>
        </w:tc>
        <w:tc>
          <w:tcPr>
            <w:tcW w:w="74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913"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791"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8"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899"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20</w:t>
            </w:r>
          </w:p>
        </w:tc>
        <w:tc>
          <w:tcPr>
            <w:tcW w:w="5268" w:type="dxa"/>
            <w:gridSpan w:val="2"/>
            <w:tcBorders>
              <w:tl2br w:val="nil"/>
              <w:tr2bl w:val="nil"/>
            </w:tcBorders>
            <w:noWrap w:val="0"/>
            <w:vAlign w:val="center"/>
          </w:tcPr>
          <w:p>
            <w:pPr>
              <w:keepNext w:val="0"/>
              <w:keepLines w:val="0"/>
              <w:widowControl/>
              <w:suppressLineNumbers w:val="0"/>
              <w:ind w:firstLineChars="10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（二）畜类</w:t>
            </w:r>
          </w:p>
        </w:tc>
        <w:tc>
          <w:tcPr>
            <w:tcW w:w="74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913"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791"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8"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899"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21</w:t>
            </w:r>
          </w:p>
        </w:tc>
        <w:tc>
          <w:tcPr>
            <w:tcW w:w="5268" w:type="dxa"/>
            <w:gridSpan w:val="2"/>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三、无形资产（22+23+24+25+26+27+28+29）</w:t>
            </w:r>
          </w:p>
        </w:tc>
        <w:tc>
          <w:tcPr>
            <w:tcW w:w="74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913"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791"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8"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899"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22</w:t>
            </w:r>
          </w:p>
        </w:tc>
        <w:tc>
          <w:tcPr>
            <w:tcW w:w="900" w:type="dxa"/>
            <w:vMerge w:val="restart"/>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所有无形资产</w:t>
            </w:r>
          </w:p>
        </w:tc>
        <w:tc>
          <w:tcPr>
            <w:tcW w:w="4368"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（一）专利权</w:t>
            </w:r>
          </w:p>
        </w:tc>
        <w:tc>
          <w:tcPr>
            <w:tcW w:w="74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913"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791"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8"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899"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23</w:t>
            </w:r>
          </w:p>
        </w:tc>
        <w:tc>
          <w:tcPr>
            <w:tcW w:w="900" w:type="dxa"/>
            <w:vMerge w:val="continue"/>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4368"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（二）商标权</w:t>
            </w:r>
          </w:p>
        </w:tc>
        <w:tc>
          <w:tcPr>
            <w:tcW w:w="74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913"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791"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8"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899"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24</w:t>
            </w:r>
          </w:p>
        </w:tc>
        <w:tc>
          <w:tcPr>
            <w:tcW w:w="900" w:type="dxa"/>
            <w:vMerge w:val="continue"/>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4368"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（三）著作权</w:t>
            </w:r>
          </w:p>
        </w:tc>
        <w:tc>
          <w:tcPr>
            <w:tcW w:w="74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913"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791"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8"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899"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25</w:t>
            </w:r>
          </w:p>
        </w:tc>
        <w:tc>
          <w:tcPr>
            <w:tcW w:w="900" w:type="dxa"/>
            <w:vMerge w:val="continue"/>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4368"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（四）土地使用权</w:t>
            </w:r>
          </w:p>
        </w:tc>
        <w:tc>
          <w:tcPr>
            <w:tcW w:w="74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913"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791"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8"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899"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26</w:t>
            </w:r>
          </w:p>
        </w:tc>
        <w:tc>
          <w:tcPr>
            <w:tcW w:w="900" w:type="dxa"/>
            <w:vMerge w:val="continue"/>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4368"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（五）非专利技术</w:t>
            </w:r>
          </w:p>
        </w:tc>
        <w:tc>
          <w:tcPr>
            <w:tcW w:w="74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913"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791"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8"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899"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27</w:t>
            </w:r>
          </w:p>
        </w:tc>
        <w:tc>
          <w:tcPr>
            <w:tcW w:w="900" w:type="dxa"/>
            <w:vMerge w:val="continue"/>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4368"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（六）特许权使用费</w:t>
            </w:r>
          </w:p>
        </w:tc>
        <w:tc>
          <w:tcPr>
            <w:tcW w:w="74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913"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791"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8"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899"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28</w:t>
            </w:r>
          </w:p>
        </w:tc>
        <w:tc>
          <w:tcPr>
            <w:tcW w:w="900" w:type="dxa"/>
            <w:vMerge w:val="continue"/>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4368"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（七）软件</w:t>
            </w:r>
          </w:p>
        </w:tc>
        <w:tc>
          <w:tcPr>
            <w:tcW w:w="74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913"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791"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8"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899"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29</w:t>
            </w:r>
          </w:p>
        </w:tc>
        <w:tc>
          <w:tcPr>
            <w:tcW w:w="900" w:type="dxa"/>
            <w:vMerge w:val="continue"/>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4368"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（八）其他</w:t>
            </w:r>
          </w:p>
        </w:tc>
        <w:tc>
          <w:tcPr>
            <w:tcW w:w="74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913"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791"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8"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899"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30</w:t>
            </w:r>
          </w:p>
        </w:tc>
        <w:tc>
          <w:tcPr>
            <w:tcW w:w="900" w:type="dxa"/>
            <w:vMerge w:val="restart"/>
            <w:tcBorders>
              <w:tl2br w:val="nil"/>
              <w:tr2bl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其中：享受无形资产加速摊销及一次性摊销政策的资产加速摊销额大于一般摊销额的部分</w:t>
            </w:r>
          </w:p>
        </w:tc>
        <w:tc>
          <w:tcPr>
            <w:tcW w:w="4368"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（一）企业外购软件加速摊销</w:t>
            </w:r>
          </w:p>
        </w:tc>
        <w:tc>
          <w:tcPr>
            <w:tcW w:w="74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913"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791"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8"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899"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31</w:t>
            </w:r>
          </w:p>
        </w:tc>
        <w:tc>
          <w:tcPr>
            <w:tcW w:w="900" w:type="dxa"/>
            <w:vMerge w:val="continue"/>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4368"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（二）特定地区企业无形资产加速摊销（31.1+31.2）</w:t>
            </w:r>
          </w:p>
        </w:tc>
        <w:tc>
          <w:tcPr>
            <w:tcW w:w="74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913"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791"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8"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899"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31.1</w:t>
            </w:r>
          </w:p>
        </w:tc>
        <w:tc>
          <w:tcPr>
            <w:tcW w:w="900" w:type="dxa"/>
            <w:vMerge w:val="continue"/>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4368"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1.海南自由贸易港企业无形资产加速摊销</w:t>
            </w:r>
          </w:p>
        </w:tc>
        <w:tc>
          <w:tcPr>
            <w:tcW w:w="74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913"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791"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8"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899" w:type="dxa"/>
            <w:tcBorders>
              <w:tl2br w:val="nil"/>
              <w:tr2bl w:val="nil"/>
            </w:tcBorders>
            <w:noWrap w:val="0"/>
            <w:vAlign w:val="center"/>
          </w:tcPr>
          <w:p>
            <w:pPr>
              <w:jc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31.2</w:t>
            </w:r>
          </w:p>
        </w:tc>
        <w:tc>
          <w:tcPr>
            <w:tcW w:w="900" w:type="dxa"/>
            <w:vMerge w:val="continue"/>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4368"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2.其他特定地区企业无形资产加速摊销</w:t>
            </w:r>
          </w:p>
        </w:tc>
        <w:tc>
          <w:tcPr>
            <w:tcW w:w="74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913"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791"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8"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899" w:type="dxa"/>
            <w:tcBorders>
              <w:tl2br w:val="nil"/>
              <w:tr2bl w:val="nil"/>
            </w:tcBorders>
            <w:noWrap w:val="0"/>
            <w:vAlign w:val="center"/>
          </w:tcPr>
          <w:p>
            <w:pPr>
              <w:jc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32</w:t>
            </w:r>
          </w:p>
        </w:tc>
        <w:tc>
          <w:tcPr>
            <w:tcW w:w="900" w:type="dxa"/>
            <w:vMerge w:val="continue"/>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4368"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（三）特定地区企业无形资产一次性摊销（32.1+32.2）</w:t>
            </w:r>
          </w:p>
        </w:tc>
        <w:tc>
          <w:tcPr>
            <w:tcW w:w="74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913"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791"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8"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899"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32.1</w:t>
            </w:r>
          </w:p>
        </w:tc>
        <w:tc>
          <w:tcPr>
            <w:tcW w:w="900" w:type="dxa"/>
            <w:vMerge w:val="continue"/>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4368"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1.海南自由贸易港企业无形资产一次性摊销</w:t>
            </w:r>
          </w:p>
        </w:tc>
        <w:tc>
          <w:tcPr>
            <w:tcW w:w="74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913"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791"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8"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899" w:type="dxa"/>
            <w:tcBorders>
              <w:tl2br w:val="nil"/>
              <w:tr2bl w:val="nil"/>
            </w:tcBorders>
            <w:noWrap w:val="0"/>
            <w:vAlign w:val="center"/>
          </w:tcPr>
          <w:p>
            <w:pPr>
              <w:jc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32.2</w:t>
            </w:r>
          </w:p>
        </w:tc>
        <w:tc>
          <w:tcPr>
            <w:tcW w:w="900" w:type="dxa"/>
            <w:vMerge w:val="continue"/>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4368"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2.其他特定地区企业无形资产一次性摊销</w:t>
            </w:r>
          </w:p>
        </w:tc>
        <w:tc>
          <w:tcPr>
            <w:tcW w:w="74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913"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791"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8"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899" w:type="dxa"/>
            <w:tcBorders>
              <w:tl2br w:val="nil"/>
              <w:tr2bl w:val="nil"/>
            </w:tcBorders>
            <w:noWrap w:val="0"/>
            <w:vAlign w:val="center"/>
          </w:tcPr>
          <w:p>
            <w:pPr>
              <w:jc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33</w:t>
            </w:r>
          </w:p>
        </w:tc>
        <w:tc>
          <w:tcPr>
            <w:tcW w:w="5268" w:type="dxa"/>
            <w:gridSpan w:val="2"/>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四、长期待摊费用（34+35+36+37+38）</w:t>
            </w:r>
          </w:p>
        </w:tc>
        <w:tc>
          <w:tcPr>
            <w:tcW w:w="74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913"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791"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8"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899"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34</w:t>
            </w:r>
          </w:p>
        </w:tc>
        <w:tc>
          <w:tcPr>
            <w:tcW w:w="5268" w:type="dxa"/>
            <w:gridSpan w:val="2"/>
            <w:tcBorders>
              <w:tl2br w:val="nil"/>
              <w:tr2bl w:val="nil"/>
            </w:tcBorders>
            <w:noWrap w:val="0"/>
            <w:vAlign w:val="center"/>
          </w:tcPr>
          <w:p>
            <w:pPr>
              <w:keepNext w:val="0"/>
              <w:keepLines w:val="0"/>
              <w:widowControl/>
              <w:suppressLineNumbers w:val="0"/>
              <w:ind w:firstLineChars="10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（一）已足额提取折旧的固定资产的改建支出</w:t>
            </w:r>
          </w:p>
        </w:tc>
        <w:tc>
          <w:tcPr>
            <w:tcW w:w="74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913"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791"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8"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899"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35</w:t>
            </w:r>
          </w:p>
        </w:tc>
        <w:tc>
          <w:tcPr>
            <w:tcW w:w="5268" w:type="dxa"/>
            <w:gridSpan w:val="2"/>
            <w:tcBorders>
              <w:tl2br w:val="nil"/>
              <w:tr2bl w:val="nil"/>
            </w:tcBorders>
            <w:noWrap w:val="0"/>
            <w:vAlign w:val="center"/>
          </w:tcPr>
          <w:p>
            <w:pPr>
              <w:keepNext w:val="0"/>
              <w:keepLines w:val="0"/>
              <w:widowControl/>
              <w:suppressLineNumbers w:val="0"/>
              <w:ind w:firstLineChars="10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（二）租入固定资产的改建支出</w:t>
            </w:r>
          </w:p>
        </w:tc>
        <w:tc>
          <w:tcPr>
            <w:tcW w:w="74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913"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791"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8"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899"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36</w:t>
            </w:r>
          </w:p>
        </w:tc>
        <w:tc>
          <w:tcPr>
            <w:tcW w:w="5268" w:type="dxa"/>
            <w:gridSpan w:val="2"/>
            <w:tcBorders>
              <w:tl2br w:val="nil"/>
              <w:tr2bl w:val="nil"/>
            </w:tcBorders>
            <w:noWrap w:val="0"/>
            <w:vAlign w:val="center"/>
          </w:tcPr>
          <w:p>
            <w:pPr>
              <w:keepNext w:val="0"/>
              <w:keepLines w:val="0"/>
              <w:widowControl/>
              <w:suppressLineNumbers w:val="0"/>
              <w:ind w:firstLineChars="10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（三）固定资产的大修理支出</w:t>
            </w:r>
          </w:p>
        </w:tc>
        <w:tc>
          <w:tcPr>
            <w:tcW w:w="74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913"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791"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8"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899"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37</w:t>
            </w:r>
          </w:p>
        </w:tc>
        <w:tc>
          <w:tcPr>
            <w:tcW w:w="5268" w:type="dxa"/>
            <w:gridSpan w:val="2"/>
            <w:tcBorders>
              <w:tl2br w:val="nil"/>
              <w:tr2bl w:val="nil"/>
            </w:tcBorders>
            <w:noWrap w:val="0"/>
            <w:vAlign w:val="center"/>
          </w:tcPr>
          <w:p>
            <w:pPr>
              <w:keepNext w:val="0"/>
              <w:keepLines w:val="0"/>
              <w:widowControl/>
              <w:suppressLineNumbers w:val="0"/>
              <w:ind w:firstLineChars="10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（四）开办费</w:t>
            </w:r>
          </w:p>
        </w:tc>
        <w:tc>
          <w:tcPr>
            <w:tcW w:w="74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913"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791"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8"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899"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38</w:t>
            </w:r>
          </w:p>
        </w:tc>
        <w:tc>
          <w:tcPr>
            <w:tcW w:w="5268" w:type="dxa"/>
            <w:gridSpan w:val="2"/>
            <w:tcBorders>
              <w:tl2br w:val="nil"/>
              <w:tr2bl w:val="nil"/>
            </w:tcBorders>
            <w:noWrap w:val="0"/>
            <w:vAlign w:val="center"/>
          </w:tcPr>
          <w:p>
            <w:pPr>
              <w:keepNext w:val="0"/>
              <w:keepLines w:val="0"/>
              <w:widowControl/>
              <w:suppressLineNumbers w:val="0"/>
              <w:ind w:firstLineChars="10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（五）其他</w:t>
            </w:r>
          </w:p>
        </w:tc>
        <w:tc>
          <w:tcPr>
            <w:tcW w:w="74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913"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791"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8"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899"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39</w:t>
            </w:r>
          </w:p>
        </w:tc>
        <w:tc>
          <w:tcPr>
            <w:tcW w:w="5268" w:type="dxa"/>
            <w:gridSpan w:val="2"/>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五、油气勘探投资</w:t>
            </w:r>
          </w:p>
        </w:tc>
        <w:tc>
          <w:tcPr>
            <w:tcW w:w="74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913"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791"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8"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899"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40</w:t>
            </w:r>
          </w:p>
        </w:tc>
        <w:tc>
          <w:tcPr>
            <w:tcW w:w="5268" w:type="dxa"/>
            <w:gridSpan w:val="2"/>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六、油气开发投资</w:t>
            </w:r>
          </w:p>
        </w:tc>
        <w:tc>
          <w:tcPr>
            <w:tcW w:w="74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913"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791"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8"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899"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41</w:t>
            </w:r>
          </w:p>
        </w:tc>
        <w:tc>
          <w:tcPr>
            <w:tcW w:w="5268" w:type="dxa"/>
            <w:gridSpan w:val="2"/>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合计（1+18+21+33+39+40）</w:t>
            </w:r>
          </w:p>
        </w:tc>
        <w:tc>
          <w:tcPr>
            <w:tcW w:w="74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913"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791"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8"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899"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516" w:type="dxa"/>
            <w:gridSpan w:val="2"/>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附列资料</w:t>
            </w:r>
          </w:p>
        </w:tc>
        <w:tc>
          <w:tcPr>
            <w:tcW w:w="4368"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全民所有制企业公司制改制资产评估增值政策资产</w:t>
            </w:r>
          </w:p>
        </w:tc>
        <w:tc>
          <w:tcPr>
            <w:tcW w:w="74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913"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791"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107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8"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w:t>
            </w:r>
          </w:p>
        </w:tc>
        <w:tc>
          <w:tcPr>
            <w:tcW w:w="1075"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c>
          <w:tcPr>
            <w:tcW w:w="899" w:type="dxa"/>
            <w:tcBorders>
              <w:tl2br w:val="nil"/>
              <w:tr2bl w:val="nil"/>
            </w:tcBorders>
            <w:noWrap w:val="0"/>
            <w:vAlign w:val="center"/>
          </w:tcPr>
          <w:p>
            <w:pPr>
              <w:jc w:val="center"/>
              <w:rPr>
                <w:rFonts w:hint="eastAsia" w:ascii="宋体" w:hAnsi="宋体" w:eastAsia="宋体" w:cs="宋体"/>
                <w:i w:val="0"/>
                <w:color w:val="auto"/>
                <w:sz w:val="20"/>
                <w:szCs w:val="20"/>
                <w:u w:val="none"/>
              </w:rPr>
            </w:pPr>
          </w:p>
        </w:tc>
      </w:tr>
    </w:tbl>
    <w:p>
      <w:bookmarkStart w:id="2" w:name="_GoBack"/>
      <w:bookmarkEnd w:id="2"/>
    </w:p>
    <w:sectPr>
      <w:pgSz w:w="16838" w:h="11906" w:orient="landscape"/>
      <w:pgMar w:top="426" w:right="1440" w:bottom="284"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 w:name="CESI宋体-GB2312">
    <w:panose1 w:val="02000500000000000000"/>
    <w:charset w:val="86"/>
    <w:family w:val="auto"/>
    <w:pitch w:val="default"/>
    <w:sig w:usb0="800002AF" w:usb1="08476CF8" w:usb2="00000010"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true"/>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04805"/>
    <w:rsid w:val="0001336A"/>
    <w:rsid w:val="0001446F"/>
    <w:rsid w:val="00033740"/>
    <w:rsid w:val="0008549C"/>
    <w:rsid w:val="000962AA"/>
    <w:rsid w:val="000E7D74"/>
    <w:rsid w:val="00101C1F"/>
    <w:rsid w:val="00110412"/>
    <w:rsid w:val="001265A2"/>
    <w:rsid w:val="001310C8"/>
    <w:rsid w:val="0013532C"/>
    <w:rsid w:val="0014415C"/>
    <w:rsid w:val="0027389D"/>
    <w:rsid w:val="002B74E8"/>
    <w:rsid w:val="002D75DF"/>
    <w:rsid w:val="0031594F"/>
    <w:rsid w:val="00323A1E"/>
    <w:rsid w:val="00323AB5"/>
    <w:rsid w:val="00333B3B"/>
    <w:rsid w:val="00361446"/>
    <w:rsid w:val="003A5936"/>
    <w:rsid w:val="003E2C43"/>
    <w:rsid w:val="00411F8D"/>
    <w:rsid w:val="00422B6F"/>
    <w:rsid w:val="004A2C8E"/>
    <w:rsid w:val="0056531D"/>
    <w:rsid w:val="00574CBB"/>
    <w:rsid w:val="00595800"/>
    <w:rsid w:val="005A4D77"/>
    <w:rsid w:val="005D68EC"/>
    <w:rsid w:val="005E65DB"/>
    <w:rsid w:val="005F36BE"/>
    <w:rsid w:val="006305C1"/>
    <w:rsid w:val="0064124D"/>
    <w:rsid w:val="00646B61"/>
    <w:rsid w:val="00647C34"/>
    <w:rsid w:val="006942B2"/>
    <w:rsid w:val="006A189E"/>
    <w:rsid w:val="006B5E53"/>
    <w:rsid w:val="006C67B4"/>
    <w:rsid w:val="006D1921"/>
    <w:rsid w:val="006D400D"/>
    <w:rsid w:val="006E1EE9"/>
    <w:rsid w:val="0071260A"/>
    <w:rsid w:val="007324A1"/>
    <w:rsid w:val="00750505"/>
    <w:rsid w:val="0078104D"/>
    <w:rsid w:val="007B0BFB"/>
    <w:rsid w:val="007B7DBC"/>
    <w:rsid w:val="007E368A"/>
    <w:rsid w:val="007F14AD"/>
    <w:rsid w:val="007F38C0"/>
    <w:rsid w:val="00804805"/>
    <w:rsid w:val="00814B95"/>
    <w:rsid w:val="00816EBF"/>
    <w:rsid w:val="00835E16"/>
    <w:rsid w:val="00840428"/>
    <w:rsid w:val="00847FA4"/>
    <w:rsid w:val="0088007A"/>
    <w:rsid w:val="008827DC"/>
    <w:rsid w:val="008D0E87"/>
    <w:rsid w:val="00926BAA"/>
    <w:rsid w:val="009406B7"/>
    <w:rsid w:val="00945900"/>
    <w:rsid w:val="009918F2"/>
    <w:rsid w:val="00994D59"/>
    <w:rsid w:val="009B5DD7"/>
    <w:rsid w:val="009D617A"/>
    <w:rsid w:val="009F221F"/>
    <w:rsid w:val="00A01048"/>
    <w:rsid w:val="00A470CA"/>
    <w:rsid w:val="00A474AF"/>
    <w:rsid w:val="00A54467"/>
    <w:rsid w:val="00A71EBC"/>
    <w:rsid w:val="00A92681"/>
    <w:rsid w:val="00AB19F4"/>
    <w:rsid w:val="00AB24E8"/>
    <w:rsid w:val="00B21BE7"/>
    <w:rsid w:val="00C25031"/>
    <w:rsid w:val="00C607E2"/>
    <w:rsid w:val="00C77BCB"/>
    <w:rsid w:val="00C968BD"/>
    <w:rsid w:val="00CD6383"/>
    <w:rsid w:val="00D168B7"/>
    <w:rsid w:val="00D831E4"/>
    <w:rsid w:val="00DC561B"/>
    <w:rsid w:val="00DC7BB5"/>
    <w:rsid w:val="00DD1C48"/>
    <w:rsid w:val="00DF0ECC"/>
    <w:rsid w:val="00E01CBD"/>
    <w:rsid w:val="00E04DCC"/>
    <w:rsid w:val="00E10EB8"/>
    <w:rsid w:val="00E21B1B"/>
    <w:rsid w:val="00E34861"/>
    <w:rsid w:val="00E6338A"/>
    <w:rsid w:val="00EB652A"/>
    <w:rsid w:val="00F174EE"/>
    <w:rsid w:val="00F41234"/>
    <w:rsid w:val="00F52048"/>
    <w:rsid w:val="00F57757"/>
    <w:rsid w:val="00FB7CB5"/>
    <w:rsid w:val="00FF7268"/>
    <w:rsid w:val="3FE784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customStyle="1" w:styleId="4">
    <w:name w:val="SBBT1"/>
    <w:basedOn w:val="1"/>
    <w:qFormat/>
    <w:uiPriority w:val="0"/>
    <w:pPr>
      <w:tabs>
        <w:tab w:val="center" w:pos="4678"/>
      </w:tabs>
      <w:spacing w:line="360" w:lineRule="auto"/>
      <w:outlineLvl w:val="0"/>
    </w:pPr>
    <w:rPr>
      <w:rFonts w:ascii="宋体" w:hAnsi="宋体" w:cs="宋体"/>
      <w:b/>
      <w:bCs/>
      <w:sz w:val="28"/>
      <w:szCs w:val="28"/>
    </w:rPr>
  </w:style>
  <w:style w:type="paragraph" w:customStyle="1" w:styleId="5">
    <w:name w:val="表格1级"/>
    <w:basedOn w:val="1"/>
    <w:qFormat/>
    <w:uiPriority w:val="0"/>
    <w:pPr>
      <w:tabs>
        <w:tab w:val="left" w:pos="210"/>
        <w:tab w:val="center" w:pos="4620"/>
      </w:tabs>
      <w:spacing w:before="50" w:beforeLines="50" w:after="50" w:afterLines="50"/>
      <w:jc w:val="center"/>
      <w:outlineLvl w:val="0"/>
    </w:pPr>
    <w:rPr>
      <w:rFonts w:ascii="Times New Roman" w:hAnsi="Times New Roman" w:eastAsia="CESI宋体-GB2312"/>
      <w:b/>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2</Pages>
  <Words>230</Words>
  <Characters>1316</Characters>
  <Lines>10</Lines>
  <Paragraphs>3</Paragraphs>
  <TotalTime>0</TotalTime>
  <ScaleCrop>false</ScaleCrop>
  <LinksUpToDate>false</LinksUpToDate>
  <CharactersWithSpaces>1543</CharactersWithSpaces>
  <Application>WPS Office_11.8.2.10183_F1E327BC-269C-435d-A152-05C5408002CA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2021-01-06T10:46:00Z</dcterms:created>
  <dc:creator>宁强</dc:creator>
  <cp:lastModifiedBy>宁强</cp:lastModifiedBy>
  <cp:lastPrinted>2021-01-08T15:46:00Z</cp:lastPrinted>
  <dcterms:modified xsi:type="dcterms:W3CDTF">2022-01-06T14:49:27Z</dcterms:modified>
  <dc:title>1</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ies>
</file>